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C8" w:rsidRDefault="003B4BC8" w:rsidP="00BE663A">
      <w:pPr>
        <w:pStyle w:val="Title"/>
        <w:rPr>
          <w:b/>
          <w:color w:val="538135" w:themeColor="accent6" w:themeShade="BF"/>
          <w:sz w:val="48"/>
          <w:szCs w:val="48"/>
        </w:rPr>
      </w:pPr>
    </w:p>
    <w:p w:rsidR="00CA244C" w:rsidRPr="00CA244C" w:rsidRDefault="00CA244C" w:rsidP="00CA244C">
      <w:pPr>
        <w:pStyle w:val="Title"/>
        <w:jc w:val="center"/>
        <w:rPr>
          <w:b/>
          <w:color w:val="538135" w:themeColor="accent6" w:themeShade="BF"/>
          <w:sz w:val="48"/>
          <w:szCs w:val="48"/>
        </w:rPr>
      </w:pPr>
      <w:r w:rsidRPr="00CA244C">
        <w:rPr>
          <w:b/>
          <w:color w:val="538135" w:themeColor="accent6" w:themeShade="BF"/>
          <w:sz w:val="48"/>
          <w:szCs w:val="48"/>
        </w:rPr>
        <w:t>STANDARD SPECIFICATION FOR HYDRAULIC BIOTIC SOIL AMENDMENT (HBSA)</w:t>
      </w:r>
    </w:p>
    <w:p w:rsidR="00CA244C" w:rsidRPr="00CA244C" w:rsidRDefault="00BE663A" w:rsidP="00CA244C">
      <w:pPr>
        <w:jc w:val="center"/>
        <w:rPr>
          <w:i/>
        </w:rPr>
      </w:pPr>
      <w:r>
        <w:rPr>
          <w:i/>
        </w:rPr>
        <w:t>V. 1.5 May 9, 2016</w:t>
      </w:r>
    </w:p>
    <w:p w:rsidR="00CA244C" w:rsidRDefault="00CA244C"/>
    <w:p w:rsidR="00CA244C" w:rsidRDefault="00CA244C" w:rsidP="00CA244C">
      <w:pPr>
        <w:pStyle w:val="Subtitle"/>
        <w:rPr>
          <w:b/>
          <w:color w:val="538135" w:themeColor="accent6" w:themeShade="BF"/>
          <w:sz w:val="36"/>
          <w:szCs w:val="36"/>
        </w:rPr>
      </w:pPr>
      <w:r w:rsidRPr="00CA244C">
        <w:rPr>
          <w:b/>
          <w:color w:val="538135" w:themeColor="accent6" w:themeShade="BF"/>
          <w:sz w:val="36"/>
          <w:szCs w:val="36"/>
        </w:rPr>
        <w:t xml:space="preserve">PART 1 </w:t>
      </w:r>
      <w:r w:rsidRPr="00CA244C">
        <w:rPr>
          <w:b/>
          <w:color w:val="538135" w:themeColor="accent6" w:themeShade="BF"/>
          <w:sz w:val="36"/>
          <w:szCs w:val="36"/>
        </w:rPr>
        <w:tab/>
        <w:t>GENERAL</w:t>
      </w:r>
    </w:p>
    <w:p w:rsidR="00B000BC" w:rsidRPr="00B000BC" w:rsidRDefault="00B000BC" w:rsidP="00B000BC"/>
    <w:p w:rsidR="00CA244C" w:rsidRPr="00B26F3A" w:rsidRDefault="00CA244C" w:rsidP="00CA244C">
      <w:pPr>
        <w:pStyle w:val="ListParagraph"/>
        <w:numPr>
          <w:ilvl w:val="1"/>
          <w:numId w:val="1"/>
        </w:numPr>
        <w:rPr>
          <w:b/>
        </w:rPr>
      </w:pPr>
      <w:r w:rsidRPr="00B26F3A">
        <w:rPr>
          <w:b/>
        </w:rPr>
        <w:t>SUMMARY</w:t>
      </w:r>
    </w:p>
    <w:p w:rsidR="00B26F3A" w:rsidRDefault="00B26F3A" w:rsidP="00B26F3A">
      <w:pPr>
        <w:pStyle w:val="ListParagraph"/>
      </w:pPr>
    </w:p>
    <w:p w:rsidR="00CA244C" w:rsidRDefault="00CA244C" w:rsidP="005307F6">
      <w:pPr>
        <w:pStyle w:val="ListParagraph"/>
        <w:numPr>
          <w:ilvl w:val="0"/>
          <w:numId w:val="2"/>
        </w:numPr>
        <w:spacing w:line="276" w:lineRule="auto"/>
        <w:jc w:val="both"/>
      </w:pPr>
      <w:r>
        <w:t>This section specifies a Hydraulic Biotic Soil Amendment (HBSA). A HBSA is a manufactured, pre-packaged material that is mixed with water and hydraulically</w:t>
      </w:r>
      <w:r w:rsidR="00F46D15">
        <w:t>-</w:t>
      </w:r>
      <w:r>
        <w:t xml:space="preserve">applied as </w:t>
      </w:r>
      <w:proofErr w:type="gramStart"/>
      <w:r>
        <w:t>a</w:t>
      </w:r>
      <w:r w:rsidR="004820B6">
        <w:t xml:space="preserve"> </w:t>
      </w:r>
      <w:r w:rsidR="00F46D15">
        <w:t>uniform</w:t>
      </w:r>
      <w:proofErr w:type="gramEnd"/>
      <w:r w:rsidR="00F46D15">
        <w:t xml:space="preserve"> </w:t>
      </w:r>
      <w:r>
        <w:t>slurry. HBSA</w:t>
      </w:r>
      <w:r w:rsidR="004D13B3">
        <w:t>s</w:t>
      </w:r>
      <w:r>
        <w:t xml:space="preserve"> are engineered to </w:t>
      </w:r>
      <w:r w:rsidR="00F46D15">
        <w:t xml:space="preserve">foster </w:t>
      </w:r>
      <w:r>
        <w:t xml:space="preserve">the development of top soil </w:t>
      </w:r>
      <w:r w:rsidR="00F46D15">
        <w:t xml:space="preserve">in </w:t>
      </w:r>
      <w:r>
        <w:t xml:space="preserve">deficient substrates </w:t>
      </w:r>
      <w:r w:rsidR="00F46D15">
        <w:t>with</w:t>
      </w:r>
      <w:r>
        <w:t xml:space="preserve">in the </w:t>
      </w:r>
      <w:proofErr w:type="spellStart"/>
      <w:r>
        <w:t>rhizosphere</w:t>
      </w:r>
      <w:proofErr w:type="spellEnd"/>
      <w:r>
        <w:t xml:space="preserve">, promote </w:t>
      </w:r>
      <w:r w:rsidR="00F46D15">
        <w:t xml:space="preserve">faster </w:t>
      </w:r>
      <w:r>
        <w:t>seed germination, and provide long term nutrient cycling that enhances sustainable vegetation establishment. HBSA</w:t>
      </w:r>
      <w:r w:rsidR="004D13B3">
        <w:t>s</w:t>
      </w:r>
      <w:r w:rsidR="00BE663A">
        <w:t xml:space="preserve"> are designed to be used </w:t>
      </w:r>
      <w:proofErr w:type="gramStart"/>
      <w:r w:rsidR="00BE663A">
        <w:t>as</w:t>
      </w:r>
      <w:proofErr w:type="gramEnd"/>
      <w:r>
        <w:t xml:space="preserve"> </w:t>
      </w:r>
      <w:r w:rsidR="00F46D15">
        <w:t>topsoil</w:t>
      </w:r>
      <w:r>
        <w:t xml:space="preserve"> </w:t>
      </w:r>
      <w:r w:rsidR="004139A7">
        <w:t>or compost alternative</w:t>
      </w:r>
      <w:r w:rsidR="00F46D15">
        <w:t>s</w:t>
      </w:r>
      <w:r w:rsidR="004139A7">
        <w:t xml:space="preserve"> </w:t>
      </w:r>
      <w:r w:rsidR="00F46D15">
        <w:t xml:space="preserve">when </w:t>
      </w:r>
      <w:r w:rsidR="004139A7">
        <w:t>topsoil is</w:t>
      </w:r>
      <w:r w:rsidR="00D92ACF">
        <w:t xml:space="preserve"> </w:t>
      </w:r>
      <w:r w:rsidR="00BE663A">
        <w:t>not</w:t>
      </w:r>
      <w:r w:rsidR="00D92ACF">
        <w:t xml:space="preserve"> present, soil is lacking organic matter, or there is little to no bio</w:t>
      </w:r>
      <w:r w:rsidR="00F46D15">
        <w:t xml:space="preserve">logical </w:t>
      </w:r>
      <w:r w:rsidR="00D92ACF">
        <w:t>activity. In order to meet the criteria of replacing the</w:t>
      </w:r>
      <w:r w:rsidR="004139A7">
        <w:t xml:space="preserve"> compost or</w:t>
      </w:r>
      <w:r w:rsidR="00D92ACF">
        <w:t xml:space="preserve"> topsoil growth media, HBSA</w:t>
      </w:r>
      <w:r w:rsidR="004D13B3">
        <w:t>s</w:t>
      </w:r>
      <w:r w:rsidR="00D92ACF">
        <w:t xml:space="preserve"> typically contain a blend of organic and natural fibers </w:t>
      </w:r>
      <w:r w:rsidR="00BE663A">
        <w:t xml:space="preserve">with soil building components and </w:t>
      </w:r>
      <w:r w:rsidR="00D92ACF">
        <w:t>soil enhancing chemistry. These materials</w:t>
      </w:r>
      <w:r w:rsidR="004139A7">
        <w:t xml:space="preserve"> are manufactured </w:t>
      </w:r>
      <w:r w:rsidR="00F46D15">
        <w:t xml:space="preserve">under controlled conditions </w:t>
      </w:r>
      <w:r w:rsidR="004139A7">
        <w:t>with specific formulations that ensure product consisten</w:t>
      </w:r>
      <w:r w:rsidR="0082061D">
        <w:t>cy</w:t>
      </w:r>
      <w:r w:rsidR="004139A7">
        <w:t xml:space="preserve">. The </w:t>
      </w:r>
      <w:r w:rsidR="00D92ACF">
        <w:t>components increase the water and nutrient holding capacity of the soil and create an environment for growth of beneficial microorganisms while allowing seed germination and vegetation establishment.</w:t>
      </w:r>
    </w:p>
    <w:p w:rsidR="00D92ACF" w:rsidRDefault="00D92ACF" w:rsidP="005307F6">
      <w:pPr>
        <w:pStyle w:val="ListParagraph"/>
        <w:spacing w:line="276" w:lineRule="auto"/>
        <w:ind w:left="1080"/>
      </w:pPr>
    </w:p>
    <w:p w:rsidR="00D92ACF" w:rsidRDefault="00D92ACF" w:rsidP="005307F6">
      <w:pPr>
        <w:pStyle w:val="ListParagraph"/>
        <w:spacing w:line="276" w:lineRule="auto"/>
        <w:ind w:left="1080"/>
        <w:jc w:val="both"/>
      </w:pPr>
      <w:r>
        <w:t>HBSA</w:t>
      </w:r>
      <w:r w:rsidR="004814EB">
        <w:t>s</w:t>
      </w:r>
      <w:r>
        <w:t xml:space="preserve"> shall be </w:t>
      </w:r>
      <w:r w:rsidR="0082061D">
        <w:t xml:space="preserve">a </w:t>
      </w:r>
      <w:r>
        <w:t>pre-packaged, commercially available, hydraulically applied blend of natural fibers, growth media</w:t>
      </w:r>
      <w:r w:rsidR="00BE663A">
        <w:t xml:space="preserve"> </w:t>
      </w:r>
      <w:r>
        <w:t>and other biologically active material.</w:t>
      </w:r>
    </w:p>
    <w:p w:rsidR="00D92ACF" w:rsidRDefault="00D92ACF" w:rsidP="005307F6">
      <w:pPr>
        <w:pStyle w:val="ListParagraph"/>
        <w:spacing w:line="276" w:lineRule="auto"/>
        <w:ind w:left="1080"/>
        <w:jc w:val="both"/>
      </w:pPr>
    </w:p>
    <w:p w:rsidR="00D92ACF" w:rsidRDefault="00D92ACF" w:rsidP="005307F6">
      <w:pPr>
        <w:pStyle w:val="ListParagraph"/>
        <w:spacing w:line="276" w:lineRule="auto"/>
        <w:ind w:left="1080"/>
        <w:jc w:val="both"/>
      </w:pPr>
      <w:r>
        <w:t>HBSA</w:t>
      </w:r>
      <w:r w:rsidR="004814EB">
        <w:t>s</w:t>
      </w:r>
      <w:r>
        <w:t xml:space="preserve"> </w:t>
      </w:r>
      <w:r w:rsidR="0082061D">
        <w:t xml:space="preserve">offer some level of erosion protection, but typically </w:t>
      </w:r>
      <w:r>
        <w:t xml:space="preserve">do not replace the use of </w:t>
      </w:r>
      <w:r w:rsidR="0082061D">
        <w:t>hydraulic or rolled erosion control products (HECPs or RECP</w:t>
      </w:r>
      <w:r w:rsidR="00BE663A">
        <w:t>s)</w:t>
      </w:r>
      <w:r>
        <w:t>. HBSA</w:t>
      </w:r>
      <w:r w:rsidR="004139A7">
        <w:t>s</w:t>
      </w:r>
      <w:r>
        <w:t xml:space="preserve"> </w:t>
      </w:r>
      <w:r w:rsidR="004139A7">
        <w:t xml:space="preserve">are </w:t>
      </w:r>
      <w:r>
        <w:t xml:space="preserve">typically installed beneath </w:t>
      </w:r>
      <w:r w:rsidR="0082061D">
        <w:t xml:space="preserve">and complement </w:t>
      </w:r>
      <w:r>
        <w:t>HECP</w:t>
      </w:r>
      <w:r w:rsidR="0082061D">
        <w:t>s</w:t>
      </w:r>
      <w:r>
        <w:t xml:space="preserve"> or RECP</w:t>
      </w:r>
      <w:r w:rsidR="0082061D">
        <w:t>s</w:t>
      </w:r>
      <w:r w:rsidR="00BE663A">
        <w:t xml:space="preserve"> as a growing media. </w:t>
      </w:r>
      <w:r>
        <w:t>Refer to Erosion Control Technology Council HECP and RECP specifications for proper erosion control.</w:t>
      </w:r>
    </w:p>
    <w:p w:rsidR="00D92ACF" w:rsidRDefault="00D92ACF" w:rsidP="005307F6">
      <w:pPr>
        <w:pStyle w:val="ListParagraph"/>
        <w:spacing w:line="276" w:lineRule="auto"/>
        <w:ind w:left="1080"/>
        <w:jc w:val="both"/>
      </w:pPr>
    </w:p>
    <w:p w:rsidR="005307F6" w:rsidRDefault="005307F6" w:rsidP="005307F6">
      <w:pPr>
        <w:pStyle w:val="ListParagraph"/>
        <w:spacing w:line="276" w:lineRule="auto"/>
        <w:ind w:left="1080"/>
        <w:jc w:val="both"/>
      </w:pPr>
    </w:p>
    <w:p w:rsidR="00CA244C" w:rsidRDefault="00D92ACF" w:rsidP="00CA244C">
      <w:pPr>
        <w:pStyle w:val="ListParagraph"/>
        <w:numPr>
          <w:ilvl w:val="1"/>
          <w:numId w:val="1"/>
        </w:numPr>
        <w:rPr>
          <w:b/>
        </w:rPr>
      </w:pPr>
      <w:r w:rsidRPr="00B26F3A">
        <w:rPr>
          <w:b/>
        </w:rPr>
        <w:t>SUMBITTALS</w:t>
      </w:r>
    </w:p>
    <w:p w:rsidR="00C26D79" w:rsidRDefault="00C26D79" w:rsidP="005307F6">
      <w:pPr>
        <w:pStyle w:val="ListParagraph"/>
        <w:numPr>
          <w:ilvl w:val="0"/>
          <w:numId w:val="4"/>
        </w:numPr>
        <w:spacing w:line="276" w:lineRule="auto"/>
        <w:ind w:left="1080" w:hanging="360"/>
        <w:jc w:val="both"/>
      </w:pPr>
      <w:r>
        <w:t xml:space="preserve">Product Data: Submit manufacturer’s product data, mixing </w:t>
      </w:r>
      <w:r w:rsidR="00246BBC">
        <w:t xml:space="preserve">and application </w:t>
      </w:r>
      <w:r>
        <w:t>instructions and application rates.</w:t>
      </w:r>
    </w:p>
    <w:p w:rsidR="005307F6" w:rsidRDefault="005307F6" w:rsidP="005307F6">
      <w:pPr>
        <w:pStyle w:val="ListParagraph"/>
        <w:spacing w:line="276" w:lineRule="auto"/>
        <w:ind w:left="1080"/>
        <w:jc w:val="both"/>
      </w:pPr>
    </w:p>
    <w:p w:rsidR="005307F6" w:rsidRDefault="005307F6" w:rsidP="005307F6">
      <w:pPr>
        <w:pStyle w:val="ListParagraph"/>
        <w:spacing w:line="276" w:lineRule="auto"/>
        <w:ind w:left="1080"/>
        <w:jc w:val="both"/>
      </w:pPr>
    </w:p>
    <w:p w:rsidR="00C26D79" w:rsidRDefault="00C26D79" w:rsidP="005307F6">
      <w:pPr>
        <w:pStyle w:val="ListParagraph"/>
        <w:numPr>
          <w:ilvl w:val="0"/>
          <w:numId w:val="4"/>
        </w:numPr>
        <w:spacing w:line="276" w:lineRule="auto"/>
        <w:ind w:left="1080" w:hanging="360"/>
        <w:jc w:val="both"/>
      </w:pPr>
      <w:r>
        <w:t xml:space="preserve">Certifications: Submit a letter from manufacturer certifying that the HBSA meets or exceeds all performance properties and packaging requirements found in this specification. </w:t>
      </w:r>
    </w:p>
    <w:p w:rsidR="00C26D79" w:rsidRDefault="00C26D79" w:rsidP="005307F6">
      <w:pPr>
        <w:pStyle w:val="ListParagraph"/>
        <w:spacing w:line="276" w:lineRule="auto"/>
        <w:rPr>
          <w:b/>
        </w:rPr>
      </w:pPr>
    </w:p>
    <w:p w:rsidR="005307F6" w:rsidRDefault="005307F6" w:rsidP="005307F6">
      <w:pPr>
        <w:pStyle w:val="ListParagraph"/>
        <w:spacing w:line="276" w:lineRule="auto"/>
        <w:rPr>
          <w:b/>
        </w:rPr>
      </w:pPr>
    </w:p>
    <w:p w:rsidR="00C26D79" w:rsidRPr="00B26F3A" w:rsidRDefault="008907EF" w:rsidP="00CA244C">
      <w:pPr>
        <w:pStyle w:val="ListParagraph"/>
        <w:numPr>
          <w:ilvl w:val="1"/>
          <w:numId w:val="1"/>
        </w:numPr>
        <w:rPr>
          <w:b/>
        </w:rPr>
      </w:pPr>
      <w:r>
        <w:rPr>
          <w:b/>
        </w:rPr>
        <w:t>PACKAGING</w:t>
      </w:r>
      <w:r w:rsidR="00C26D79">
        <w:rPr>
          <w:b/>
        </w:rPr>
        <w:t>, DELIVER</w:t>
      </w:r>
      <w:r>
        <w:rPr>
          <w:b/>
        </w:rPr>
        <w:t>Y</w:t>
      </w:r>
      <w:r w:rsidR="00C26D79">
        <w:rPr>
          <w:b/>
        </w:rPr>
        <w:t>, STORAGE AND HANDLING</w:t>
      </w:r>
    </w:p>
    <w:p w:rsidR="00D92ACF" w:rsidRDefault="00C26D79" w:rsidP="005307F6">
      <w:pPr>
        <w:pStyle w:val="ListParagraph"/>
        <w:numPr>
          <w:ilvl w:val="0"/>
          <w:numId w:val="3"/>
        </w:numPr>
        <w:spacing w:line="276" w:lineRule="auto"/>
        <w:jc w:val="both"/>
      </w:pPr>
      <w:r>
        <w:t>Deliver materials and products in ultraviolet (UV) and weather resistant factory labeled packages</w:t>
      </w:r>
      <w:r w:rsidR="003D0B72">
        <w:t xml:space="preserve"> that are supplied on unitized pallets</w:t>
      </w:r>
      <w:r>
        <w:t xml:space="preserve">. Store and handle in strict compliance with manufacturer’s instructions and recommendations. Protect product from damage due to climatic conditions and construction operations. </w:t>
      </w:r>
    </w:p>
    <w:p w:rsidR="00B000BC" w:rsidRDefault="00B000BC">
      <w:r>
        <w:br w:type="page"/>
      </w:r>
    </w:p>
    <w:p w:rsidR="00C26D79" w:rsidRDefault="00C26D79" w:rsidP="00C26D79">
      <w:pPr>
        <w:pStyle w:val="Subtitle"/>
        <w:rPr>
          <w:b/>
          <w:color w:val="538135" w:themeColor="accent6" w:themeShade="BF"/>
          <w:sz w:val="36"/>
          <w:szCs w:val="36"/>
        </w:rPr>
      </w:pPr>
      <w:r w:rsidRPr="00CA244C">
        <w:rPr>
          <w:b/>
          <w:color w:val="538135" w:themeColor="accent6" w:themeShade="BF"/>
          <w:sz w:val="36"/>
          <w:szCs w:val="36"/>
        </w:rPr>
        <w:lastRenderedPageBreak/>
        <w:t xml:space="preserve">PART </w:t>
      </w:r>
      <w:r>
        <w:rPr>
          <w:b/>
          <w:color w:val="538135" w:themeColor="accent6" w:themeShade="BF"/>
          <w:sz w:val="36"/>
          <w:szCs w:val="36"/>
        </w:rPr>
        <w:t>2</w:t>
      </w:r>
      <w:r w:rsidRPr="00CA244C">
        <w:rPr>
          <w:b/>
          <w:color w:val="538135" w:themeColor="accent6" w:themeShade="BF"/>
          <w:sz w:val="36"/>
          <w:szCs w:val="36"/>
        </w:rPr>
        <w:t xml:space="preserve"> </w:t>
      </w:r>
      <w:r w:rsidRPr="00CA244C">
        <w:rPr>
          <w:b/>
          <w:color w:val="538135" w:themeColor="accent6" w:themeShade="BF"/>
          <w:sz w:val="36"/>
          <w:szCs w:val="36"/>
        </w:rPr>
        <w:tab/>
      </w:r>
      <w:r>
        <w:rPr>
          <w:b/>
          <w:color w:val="538135" w:themeColor="accent6" w:themeShade="BF"/>
          <w:sz w:val="36"/>
          <w:szCs w:val="36"/>
        </w:rPr>
        <w:t>PRODUCTS</w:t>
      </w:r>
    </w:p>
    <w:p w:rsidR="00B000BC" w:rsidRPr="00B000BC" w:rsidRDefault="00B000BC" w:rsidP="00B000BC"/>
    <w:p w:rsidR="00C26D79" w:rsidRPr="00510751" w:rsidRDefault="00C26D79" w:rsidP="00C26D79">
      <w:pPr>
        <w:jc w:val="both"/>
        <w:rPr>
          <w:b/>
        </w:rPr>
      </w:pPr>
      <w:r w:rsidRPr="00510751">
        <w:rPr>
          <w:b/>
        </w:rPr>
        <w:t>2.1</w:t>
      </w:r>
      <w:r w:rsidRPr="00510751">
        <w:rPr>
          <w:b/>
        </w:rPr>
        <w:tab/>
      </w:r>
      <w:r w:rsidR="008F27CA">
        <w:rPr>
          <w:b/>
        </w:rPr>
        <w:t>MATERIAL</w:t>
      </w:r>
      <w:r w:rsidRPr="00510751">
        <w:rPr>
          <w:b/>
        </w:rPr>
        <w:t xml:space="preserve"> REQUIREMENTS</w:t>
      </w:r>
    </w:p>
    <w:p w:rsidR="00C26D79" w:rsidRDefault="0038789B" w:rsidP="0038789B">
      <w:pPr>
        <w:ind w:left="1080" w:hanging="360"/>
        <w:jc w:val="both"/>
      </w:pPr>
      <w:r>
        <w:t>A.</w:t>
      </w:r>
      <w:r>
        <w:tab/>
      </w:r>
      <w:r w:rsidR="00C26D79">
        <w:t>The HBSA to be used shall meet the standards below:</w:t>
      </w:r>
    </w:p>
    <w:tbl>
      <w:tblPr>
        <w:tblStyle w:val="TableGrid"/>
        <w:tblW w:w="9648" w:type="dxa"/>
        <w:tblBorders>
          <w:top w:val="double" w:sz="4" w:space="0" w:color="70AD47" w:themeColor="accent6"/>
          <w:left w:val="double" w:sz="4" w:space="0" w:color="70AD47" w:themeColor="accent6"/>
          <w:bottom w:val="double" w:sz="4" w:space="0" w:color="70AD47" w:themeColor="accent6"/>
          <w:right w:val="double" w:sz="4" w:space="0" w:color="70AD47" w:themeColor="accent6"/>
          <w:insideH w:val="double" w:sz="4" w:space="0" w:color="70AD47" w:themeColor="accent6"/>
          <w:insideV w:val="double" w:sz="4" w:space="0" w:color="70AD47" w:themeColor="accent6"/>
        </w:tblBorders>
        <w:tblLook w:val="04A0"/>
      </w:tblPr>
      <w:tblGrid>
        <w:gridCol w:w="2685"/>
        <w:gridCol w:w="1980"/>
        <w:gridCol w:w="4983"/>
      </w:tblGrid>
      <w:tr w:rsidR="00DF1A07" w:rsidTr="00A85C34">
        <w:trPr>
          <w:trHeight w:val="555"/>
        </w:trPr>
        <w:tc>
          <w:tcPr>
            <w:tcW w:w="2685" w:type="dxa"/>
            <w:shd w:val="clear" w:color="auto" w:fill="A8D08D" w:themeFill="accent6" w:themeFillTint="99"/>
            <w:vAlign w:val="center"/>
          </w:tcPr>
          <w:p w:rsidR="00DF1A07" w:rsidRPr="003B4BC8" w:rsidRDefault="003B4BC8" w:rsidP="003B4BC8">
            <w:pPr>
              <w:rPr>
                <w:b/>
              </w:rPr>
            </w:pPr>
            <w:r w:rsidRPr="003B4BC8">
              <w:rPr>
                <w:b/>
              </w:rPr>
              <w:t>HBSA Property</w:t>
            </w:r>
          </w:p>
        </w:tc>
        <w:tc>
          <w:tcPr>
            <w:tcW w:w="1980" w:type="dxa"/>
            <w:shd w:val="clear" w:color="auto" w:fill="A8D08D" w:themeFill="accent6" w:themeFillTint="99"/>
            <w:vAlign w:val="center"/>
          </w:tcPr>
          <w:p w:rsidR="00DF1A07" w:rsidRPr="003B4BC8" w:rsidRDefault="003B4BC8" w:rsidP="003B4BC8">
            <w:pPr>
              <w:rPr>
                <w:b/>
              </w:rPr>
            </w:pPr>
            <w:r w:rsidRPr="003B4BC8">
              <w:rPr>
                <w:b/>
              </w:rPr>
              <w:t>Test Method</w:t>
            </w:r>
          </w:p>
        </w:tc>
        <w:tc>
          <w:tcPr>
            <w:tcW w:w="4983" w:type="dxa"/>
            <w:shd w:val="clear" w:color="auto" w:fill="A8D08D" w:themeFill="accent6" w:themeFillTint="99"/>
            <w:vAlign w:val="center"/>
          </w:tcPr>
          <w:p w:rsidR="00DF1A07" w:rsidRPr="003B4BC8" w:rsidRDefault="003D0B72" w:rsidP="003D0B72">
            <w:pPr>
              <w:rPr>
                <w:b/>
              </w:rPr>
            </w:pPr>
            <w:r>
              <w:rPr>
                <w:b/>
              </w:rPr>
              <w:t xml:space="preserve"> Values</w:t>
            </w:r>
          </w:p>
        </w:tc>
        <w:bookmarkStart w:id="0" w:name="_GoBack"/>
        <w:bookmarkEnd w:id="0"/>
      </w:tr>
      <w:tr w:rsidR="003B4BC8" w:rsidTr="00A85C34">
        <w:trPr>
          <w:trHeight w:val="825"/>
        </w:trPr>
        <w:tc>
          <w:tcPr>
            <w:tcW w:w="2685" w:type="dxa"/>
            <w:vAlign w:val="center"/>
          </w:tcPr>
          <w:p w:rsidR="003B4BC8" w:rsidRPr="003B4BC8" w:rsidRDefault="003B4BC8" w:rsidP="003B4BC8">
            <w:pPr>
              <w:rPr>
                <w:b/>
                <w:sz w:val="24"/>
                <w:szCs w:val="24"/>
              </w:rPr>
            </w:pPr>
            <w:r w:rsidRPr="003B4BC8">
              <w:rPr>
                <w:b/>
                <w:sz w:val="24"/>
                <w:szCs w:val="24"/>
              </w:rPr>
              <w:t>Physical</w:t>
            </w:r>
          </w:p>
        </w:tc>
        <w:tc>
          <w:tcPr>
            <w:tcW w:w="6963" w:type="dxa"/>
            <w:gridSpan w:val="2"/>
          </w:tcPr>
          <w:p w:rsidR="003B4BC8" w:rsidRDefault="003B4BC8" w:rsidP="00C26D79">
            <w:pPr>
              <w:jc w:val="both"/>
            </w:pPr>
          </w:p>
        </w:tc>
      </w:tr>
      <w:tr w:rsidR="00DF1A07" w:rsidTr="00A85C34">
        <w:tc>
          <w:tcPr>
            <w:tcW w:w="2685" w:type="dxa"/>
            <w:vAlign w:val="center"/>
          </w:tcPr>
          <w:p w:rsidR="00DF1A07" w:rsidRDefault="003B4BC8" w:rsidP="003B4BC8">
            <w:r>
              <w:t>Color</w:t>
            </w:r>
          </w:p>
        </w:tc>
        <w:tc>
          <w:tcPr>
            <w:tcW w:w="1980" w:type="dxa"/>
            <w:vAlign w:val="center"/>
          </w:tcPr>
          <w:p w:rsidR="00DF1A07" w:rsidRDefault="003B4BC8" w:rsidP="003B4BC8">
            <w:r>
              <w:t>Observation</w:t>
            </w:r>
          </w:p>
        </w:tc>
        <w:tc>
          <w:tcPr>
            <w:tcW w:w="4983" w:type="dxa"/>
            <w:vAlign w:val="center"/>
          </w:tcPr>
          <w:p w:rsidR="00DF1A07" w:rsidRDefault="003B4BC8" w:rsidP="00BE663A">
            <w:r>
              <w:t>Naturally colored</w:t>
            </w:r>
            <w:r w:rsidR="00A82311">
              <w:t xml:space="preserve"> green,</w:t>
            </w:r>
            <w:r>
              <w:t xml:space="preserve"> brown or black</w:t>
            </w:r>
            <w:r w:rsidR="00BE663A">
              <w:t xml:space="preserve"> to contrast area.</w:t>
            </w:r>
          </w:p>
        </w:tc>
      </w:tr>
      <w:tr w:rsidR="00DF1A07" w:rsidTr="00A85C34">
        <w:trPr>
          <w:trHeight w:val="528"/>
        </w:trPr>
        <w:tc>
          <w:tcPr>
            <w:tcW w:w="2685" w:type="dxa"/>
            <w:vAlign w:val="center"/>
          </w:tcPr>
          <w:p w:rsidR="00DF1A07" w:rsidRDefault="003B4BC8" w:rsidP="003B4BC8">
            <w:r>
              <w:t>Organic Matter</w:t>
            </w:r>
          </w:p>
        </w:tc>
        <w:tc>
          <w:tcPr>
            <w:tcW w:w="1980" w:type="dxa"/>
            <w:vAlign w:val="center"/>
          </w:tcPr>
          <w:p w:rsidR="00DF1A07" w:rsidRDefault="003B4BC8" w:rsidP="003B4BC8">
            <w:r>
              <w:t>ASTM D586</w:t>
            </w:r>
          </w:p>
        </w:tc>
        <w:tc>
          <w:tcPr>
            <w:tcW w:w="4983" w:type="dxa"/>
            <w:vAlign w:val="center"/>
          </w:tcPr>
          <w:p w:rsidR="00DF1A07" w:rsidRDefault="003B4BC8" w:rsidP="003B4BC8">
            <w:r>
              <w:t>85% minimum</w:t>
            </w:r>
          </w:p>
        </w:tc>
      </w:tr>
      <w:tr w:rsidR="00DF1A07" w:rsidTr="00A85C34">
        <w:tc>
          <w:tcPr>
            <w:tcW w:w="2685" w:type="dxa"/>
            <w:vAlign w:val="center"/>
          </w:tcPr>
          <w:p w:rsidR="00DF1A07" w:rsidRDefault="003B4BC8" w:rsidP="003B4BC8">
            <w:r>
              <w:t>Acute Toxicity</w:t>
            </w:r>
          </w:p>
        </w:tc>
        <w:tc>
          <w:tcPr>
            <w:tcW w:w="1980" w:type="dxa"/>
            <w:vAlign w:val="center"/>
          </w:tcPr>
          <w:p w:rsidR="00DF1A07" w:rsidRDefault="003B4BC8" w:rsidP="003B4BC8">
            <w:r>
              <w:t>ASTM 7101 &amp; EPA Method 2021.0</w:t>
            </w:r>
          </w:p>
        </w:tc>
        <w:tc>
          <w:tcPr>
            <w:tcW w:w="4983" w:type="dxa"/>
            <w:vAlign w:val="center"/>
          </w:tcPr>
          <w:p w:rsidR="00DF1A07" w:rsidRDefault="003B4BC8" w:rsidP="003B4BC8">
            <w:r>
              <w:t>Non-toxic</w:t>
            </w:r>
          </w:p>
        </w:tc>
      </w:tr>
      <w:tr w:rsidR="00DF1A07" w:rsidTr="00A85C34">
        <w:trPr>
          <w:trHeight w:val="483"/>
        </w:trPr>
        <w:tc>
          <w:tcPr>
            <w:tcW w:w="2685" w:type="dxa"/>
            <w:vAlign w:val="center"/>
          </w:tcPr>
          <w:p w:rsidR="00DF1A07" w:rsidRDefault="003B4BC8" w:rsidP="003B4BC8">
            <w:r>
              <w:t>pH</w:t>
            </w:r>
          </w:p>
        </w:tc>
        <w:tc>
          <w:tcPr>
            <w:tcW w:w="1980" w:type="dxa"/>
            <w:vAlign w:val="center"/>
          </w:tcPr>
          <w:p w:rsidR="00DF1A07" w:rsidRDefault="003B4BC8" w:rsidP="003B4BC8">
            <w:r>
              <w:t>ASTM D1293</w:t>
            </w:r>
          </w:p>
        </w:tc>
        <w:tc>
          <w:tcPr>
            <w:tcW w:w="4983" w:type="dxa"/>
            <w:vAlign w:val="center"/>
          </w:tcPr>
          <w:p w:rsidR="00DF1A07" w:rsidRDefault="00BE663A" w:rsidP="00BE663A">
            <w:r>
              <w:t>5.5</w:t>
            </w:r>
            <w:r w:rsidR="003B4BC8">
              <w:t xml:space="preserve"> – 8.5</w:t>
            </w:r>
          </w:p>
        </w:tc>
      </w:tr>
      <w:tr w:rsidR="00DF1A07" w:rsidTr="00A85C34">
        <w:trPr>
          <w:trHeight w:val="510"/>
        </w:trPr>
        <w:tc>
          <w:tcPr>
            <w:tcW w:w="2685" w:type="dxa"/>
            <w:vAlign w:val="center"/>
          </w:tcPr>
          <w:p w:rsidR="00DF1A07" w:rsidRDefault="003B4BC8" w:rsidP="003B4BC8">
            <w:r>
              <w:t>C:N Ratio</w:t>
            </w:r>
          </w:p>
        </w:tc>
        <w:tc>
          <w:tcPr>
            <w:tcW w:w="1980" w:type="dxa"/>
            <w:vAlign w:val="center"/>
          </w:tcPr>
          <w:p w:rsidR="00DF1A07" w:rsidRDefault="003B4BC8" w:rsidP="003B4BC8">
            <w:r>
              <w:t>ASTM E1508</w:t>
            </w:r>
          </w:p>
        </w:tc>
        <w:tc>
          <w:tcPr>
            <w:tcW w:w="4983" w:type="dxa"/>
            <w:vAlign w:val="center"/>
          </w:tcPr>
          <w:p w:rsidR="00DF1A07" w:rsidRDefault="008907EF" w:rsidP="003B4BC8">
            <w:r>
              <w:t>20</w:t>
            </w:r>
            <w:r w:rsidR="003B4BC8">
              <w:t>:1 minimum 100:1 maximum</w:t>
            </w:r>
          </w:p>
        </w:tc>
      </w:tr>
      <w:tr w:rsidR="00DF1A07" w:rsidTr="00A85C34">
        <w:trPr>
          <w:trHeight w:val="600"/>
        </w:trPr>
        <w:tc>
          <w:tcPr>
            <w:tcW w:w="2685" w:type="dxa"/>
            <w:vAlign w:val="center"/>
          </w:tcPr>
          <w:p w:rsidR="00DF1A07" w:rsidRDefault="003B4BC8" w:rsidP="003B4BC8">
            <w:r>
              <w:t>Water Holding Capacity</w:t>
            </w:r>
          </w:p>
        </w:tc>
        <w:tc>
          <w:tcPr>
            <w:tcW w:w="1980" w:type="dxa"/>
            <w:vAlign w:val="center"/>
          </w:tcPr>
          <w:p w:rsidR="00DF1A07" w:rsidRDefault="003B4BC8" w:rsidP="003B4BC8">
            <w:r>
              <w:t>ASTM D7367</w:t>
            </w:r>
          </w:p>
        </w:tc>
        <w:tc>
          <w:tcPr>
            <w:tcW w:w="4983" w:type="dxa"/>
            <w:vAlign w:val="center"/>
          </w:tcPr>
          <w:p w:rsidR="00DF1A07" w:rsidRDefault="003B4BC8" w:rsidP="003B4BC8">
            <w:r>
              <w:t>400% minimum</w:t>
            </w:r>
          </w:p>
        </w:tc>
      </w:tr>
      <w:tr w:rsidR="00DF1A07" w:rsidTr="00A85C34">
        <w:trPr>
          <w:trHeight w:val="555"/>
        </w:trPr>
        <w:tc>
          <w:tcPr>
            <w:tcW w:w="2685" w:type="dxa"/>
            <w:vAlign w:val="center"/>
          </w:tcPr>
          <w:p w:rsidR="00DF1A07" w:rsidRDefault="003B4BC8" w:rsidP="003B4BC8">
            <w:r>
              <w:t>Moisture Content</w:t>
            </w:r>
          </w:p>
        </w:tc>
        <w:tc>
          <w:tcPr>
            <w:tcW w:w="1980" w:type="dxa"/>
            <w:vAlign w:val="center"/>
          </w:tcPr>
          <w:p w:rsidR="00DF1A07" w:rsidRDefault="003B4BC8" w:rsidP="003B4BC8">
            <w:r>
              <w:t xml:space="preserve">ASTM </w:t>
            </w:r>
            <w:r w:rsidR="00A82311">
              <w:t>D</w:t>
            </w:r>
            <w:r>
              <w:t>2974</w:t>
            </w:r>
          </w:p>
        </w:tc>
        <w:tc>
          <w:tcPr>
            <w:tcW w:w="4983" w:type="dxa"/>
            <w:vAlign w:val="center"/>
          </w:tcPr>
          <w:p w:rsidR="00DF1A07" w:rsidRDefault="003B4BC8" w:rsidP="003B4BC8">
            <w:r>
              <w:t>10% minimum, 40% maximum</w:t>
            </w:r>
          </w:p>
        </w:tc>
      </w:tr>
      <w:tr w:rsidR="00A85C34" w:rsidTr="00A85C34">
        <w:trPr>
          <w:trHeight w:val="735"/>
        </w:trPr>
        <w:tc>
          <w:tcPr>
            <w:tcW w:w="2685" w:type="dxa"/>
            <w:vAlign w:val="center"/>
          </w:tcPr>
          <w:p w:rsidR="00A85C34" w:rsidRPr="003B4BC8" w:rsidRDefault="00A85C34" w:rsidP="003B4BC8">
            <w:pPr>
              <w:rPr>
                <w:b/>
                <w:sz w:val="24"/>
                <w:szCs w:val="24"/>
              </w:rPr>
            </w:pPr>
            <w:r w:rsidRPr="003B4BC8">
              <w:rPr>
                <w:b/>
                <w:sz w:val="24"/>
                <w:szCs w:val="24"/>
              </w:rPr>
              <w:t>Performance</w:t>
            </w:r>
          </w:p>
        </w:tc>
        <w:tc>
          <w:tcPr>
            <w:tcW w:w="6963" w:type="dxa"/>
            <w:gridSpan w:val="2"/>
            <w:vAlign w:val="center"/>
          </w:tcPr>
          <w:p w:rsidR="00A85C34" w:rsidRDefault="00A85C34" w:rsidP="003B4BC8"/>
        </w:tc>
      </w:tr>
      <w:tr w:rsidR="00A85C34" w:rsidTr="00A85C34">
        <w:trPr>
          <w:trHeight w:val="600"/>
        </w:trPr>
        <w:tc>
          <w:tcPr>
            <w:tcW w:w="2685" w:type="dxa"/>
            <w:vAlign w:val="center"/>
          </w:tcPr>
          <w:p w:rsidR="00A85C34" w:rsidRDefault="00A85C34" w:rsidP="003B4BC8">
            <w:r>
              <w:t>Vegetation Establishment</w:t>
            </w:r>
          </w:p>
        </w:tc>
        <w:tc>
          <w:tcPr>
            <w:tcW w:w="1980" w:type="dxa"/>
            <w:vAlign w:val="center"/>
          </w:tcPr>
          <w:p w:rsidR="00A85C34" w:rsidRDefault="00A85C34" w:rsidP="003B4BC8">
            <w:r>
              <w:t>ASTM D7322</w:t>
            </w:r>
          </w:p>
        </w:tc>
        <w:tc>
          <w:tcPr>
            <w:tcW w:w="4983" w:type="dxa"/>
            <w:vAlign w:val="center"/>
          </w:tcPr>
          <w:p w:rsidR="00A85C34" w:rsidRDefault="00A85C34" w:rsidP="003B4BC8">
            <w:r>
              <w:t>400% minimum</w:t>
            </w:r>
          </w:p>
        </w:tc>
      </w:tr>
    </w:tbl>
    <w:p w:rsidR="00C26D79" w:rsidRDefault="00C26D79" w:rsidP="00C26D79">
      <w:pPr>
        <w:jc w:val="both"/>
      </w:pPr>
    </w:p>
    <w:p w:rsidR="00C26D79" w:rsidRDefault="00C26D79" w:rsidP="00C26D79">
      <w:pPr>
        <w:jc w:val="both"/>
      </w:pPr>
    </w:p>
    <w:p w:rsidR="00A85C34" w:rsidRDefault="00A85C34" w:rsidP="00C26D79">
      <w:pPr>
        <w:jc w:val="both"/>
      </w:pPr>
    </w:p>
    <w:p w:rsidR="00A85C34" w:rsidRDefault="00A85C34" w:rsidP="00C26D79">
      <w:pPr>
        <w:jc w:val="both"/>
      </w:pPr>
    </w:p>
    <w:p w:rsidR="00A85C34" w:rsidRDefault="00A85C34" w:rsidP="00C26D79">
      <w:pPr>
        <w:jc w:val="both"/>
      </w:pPr>
    </w:p>
    <w:p w:rsidR="00C26D79" w:rsidRDefault="00C26D79" w:rsidP="00C26D79">
      <w:pPr>
        <w:pStyle w:val="Subtitle"/>
        <w:rPr>
          <w:b/>
          <w:color w:val="538135" w:themeColor="accent6" w:themeShade="BF"/>
          <w:sz w:val="36"/>
          <w:szCs w:val="36"/>
        </w:rPr>
      </w:pPr>
      <w:r w:rsidRPr="00CA244C">
        <w:rPr>
          <w:b/>
          <w:color w:val="538135" w:themeColor="accent6" w:themeShade="BF"/>
          <w:sz w:val="36"/>
          <w:szCs w:val="36"/>
        </w:rPr>
        <w:lastRenderedPageBreak/>
        <w:t xml:space="preserve">PART </w:t>
      </w:r>
      <w:r>
        <w:rPr>
          <w:b/>
          <w:color w:val="538135" w:themeColor="accent6" w:themeShade="BF"/>
          <w:sz w:val="36"/>
          <w:szCs w:val="36"/>
        </w:rPr>
        <w:t>3</w:t>
      </w:r>
      <w:r w:rsidRPr="00CA244C">
        <w:rPr>
          <w:b/>
          <w:color w:val="538135" w:themeColor="accent6" w:themeShade="BF"/>
          <w:sz w:val="36"/>
          <w:szCs w:val="36"/>
        </w:rPr>
        <w:t xml:space="preserve"> </w:t>
      </w:r>
      <w:r w:rsidRPr="00CA244C">
        <w:rPr>
          <w:b/>
          <w:color w:val="538135" w:themeColor="accent6" w:themeShade="BF"/>
          <w:sz w:val="36"/>
          <w:szCs w:val="36"/>
        </w:rPr>
        <w:tab/>
      </w:r>
      <w:r>
        <w:rPr>
          <w:b/>
          <w:color w:val="538135" w:themeColor="accent6" w:themeShade="BF"/>
          <w:sz w:val="36"/>
          <w:szCs w:val="36"/>
        </w:rPr>
        <w:t>EXECUTION</w:t>
      </w:r>
    </w:p>
    <w:p w:rsidR="00510751" w:rsidRPr="00510751" w:rsidRDefault="00510751" w:rsidP="00510751"/>
    <w:p w:rsidR="00C26D79" w:rsidRPr="00C26D79" w:rsidRDefault="00C26D79" w:rsidP="00C26D79">
      <w:pPr>
        <w:rPr>
          <w:b/>
        </w:rPr>
      </w:pPr>
      <w:r w:rsidRPr="00C26D79">
        <w:rPr>
          <w:b/>
        </w:rPr>
        <w:t>3.1</w:t>
      </w:r>
      <w:r w:rsidRPr="00C26D79">
        <w:rPr>
          <w:b/>
        </w:rPr>
        <w:tab/>
        <w:t>SUBSTRATE AND SEEDBED PREPARATION</w:t>
      </w:r>
    </w:p>
    <w:p w:rsidR="00C26D79" w:rsidRDefault="00C26D79" w:rsidP="00F66B47">
      <w:pPr>
        <w:spacing w:line="276" w:lineRule="auto"/>
        <w:ind w:left="1080" w:hanging="360"/>
        <w:jc w:val="both"/>
      </w:pPr>
      <w:r>
        <w:t xml:space="preserve">A. </w:t>
      </w:r>
      <w:r w:rsidR="0038789B">
        <w:tab/>
      </w:r>
      <w:r>
        <w:t>Ensure the seedbed conforms to the finished grade and cross section shown on the Plans</w:t>
      </w:r>
      <w:r w:rsidR="00A85C34">
        <w:t xml:space="preserve"> and described in the project specifications</w:t>
      </w:r>
      <w:r>
        <w:t xml:space="preserve">. </w:t>
      </w:r>
      <w:r w:rsidR="0038789B">
        <w:t>Before applying the HBSA</w:t>
      </w:r>
      <w:r w:rsidR="00A85C34">
        <w:t xml:space="preserve"> </w:t>
      </w:r>
      <w:proofErr w:type="gramStart"/>
      <w:r w:rsidR="00A85C34">
        <w:t>r</w:t>
      </w:r>
      <w:r w:rsidR="0038789B">
        <w:t>emove</w:t>
      </w:r>
      <w:proofErr w:type="gramEnd"/>
      <w:r w:rsidR="0038789B">
        <w:t xml:space="preserve"> any large stones, clods or other debris </w:t>
      </w:r>
      <w:r w:rsidR="00A85C34">
        <w:t>on</w:t>
      </w:r>
      <w:r w:rsidR="0038789B">
        <w:t xml:space="preserve"> the surface to ensure the area is uniform.</w:t>
      </w:r>
      <w:r w:rsidR="00A22235">
        <w:t xml:space="preserve"> </w:t>
      </w:r>
      <w:r w:rsidR="00A85C34">
        <w:t>HBSAs are typically installed beneath and complement HECPs or RECPs as a growing media. Refer to Erosion Control Technology Council HECP and RECP specifications for proper erosion control</w:t>
      </w:r>
    </w:p>
    <w:p w:rsidR="00146A37" w:rsidRDefault="00146A37" w:rsidP="00F66B47">
      <w:pPr>
        <w:spacing w:line="276" w:lineRule="auto"/>
        <w:ind w:left="1080" w:hanging="360"/>
        <w:jc w:val="both"/>
      </w:pPr>
    </w:p>
    <w:p w:rsidR="0038789B" w:rsidRPr="00924D97" w:rsidRDefault="0038789B" w:rsidP="0038789B">
      <w:pPr>
        <w:rPr>
          <w:b/>
        </w:rPr>
      </w:pPr>
      <w:r w:rsidRPr="00924D97">
        <w:rPr>
          <w:b/>
        </w:rPr>
        <w:t>3.2</w:t>
      </w:r>
      <w:r w:rsidRPr="00924D97">
        <w:rPr>
          <w:b/>
        </w:rPr>
        <w:tab/>
        <w:t>APPLICATION</w:t>
      </w:r>
    </w:p>
    <w:p w:rsidR="0038789B" w:rsidRDefault="0038789B" w:rsidP="00F66B47">
      <w:pPr>
        <w:spacing w:line="276" w:lineRule="auto"/>
        <w:ind w:left="1080" w:hanging="360"/>
        <w:jc w:val="both"/>
      </w:pPr>
      <w:r>
        <w:t>A.</w:t>
      </w:r>
      <w:r>
        <w:tab/>
      </w:r>
      <w:r w:rsidR="00924D97">
        <w:t>Strictly comply with manufacturer’s mixing and application instructions, machinery requirements and other recommendations. For optimum pumping and application performance use recommended hydraulic seeding/mulching machines with appropriate nozzle tip. Apply HBSA uniformly at the specified unit rate based on site conditions</w:t>
      </w:r>
      <w:r w:rsidR="00355003">
        <w:t xml:space="preserve"> and/or manufacturer’s recommendations</w:t>
      </w:r>
      <w:r w:rsidR="00924D97">
        <w:t>.</w:t>
      </w:r>
    </w:p>
    <w:p w:rsidR="00146A37" w:rsidRDefault="00146A37" w:rsidP="00F66B47">
      <w:pPr>
        <w:spacing w:line="276" w:lineRule="auto"/>
        <w:ind w:left="1080" w:hanging="360"/>
        <w:jc w:val="both"/>
      </w:pPr>
    </w:p>
    <w:p w:rsidR="00924D97" w:rsidRDefault="00924D97" w:rsidP="00F66B47">
      <w:pPr>
        <w:spacing w:line="276" w:lineRule="auto"/>
        <w:ind w:left="1080" w:hanging="360"/>
        <w:jc w:val="both"/>
      </w:pPr>
      <w:r>
        <w:t>B.</w:t>
      </w:r>
      <w:r>
        <w:tab/>
        <w:t>Fill the tank of the hydraulic machine approximately 1/3 full with water. Continue to add water slowly while adding HBSA at a steady rate. Utilize the HBSA manufacturer’s recommended water-to-HBSA ratio</w:t>
      </w:r>
      <w:r w:rsidR="003D0B72">
        <w:t>s</w:t>
      </w:r>
      <w:r>
        <w:t>. Confirm loading rates with equipment manufacturer. All HBSA and supplemental materials should be loaded into the tank before it is approximately ¾ full. Finish filling the tank with water to the desired level. Uniform slurries may require agitation or mixing for a minimum of 10 minutes after all water and HBSA are in the tank.</w:t>
      </w:r>
    </w:p>
    <w:p w:rsidR="00924D97" w:rsidRDefault="00924D97" w:rsidP="00F66B47">
      <w:pPr>
        <w:spacing w:line="276" w:lineRule="auto"/>
        <w:ind w:left="1080" w:hanging="360"/>
        <w:jc w:val="both"/>
      </w:pPr>
    </w:p>
    <w:p w:rsidR="00924D97" w:rsidRDefault="00924D97" w:rsidP="00F66B47">
      <w:pPr>
        <w:pStyle w:val="ListParagraph"/>
        <w:numPr>
          <w:ilvl w:val="0"/>
          <w:numId w:val="4"/>
        </w:numPr>
        <w:spacing w:line="276" w:lineRule="auto"/>
        <w:ind w:left="1080" w:hanging="360"/>
        <w:jc w:val="both"/>
      </w:pPr>
      <w:r>
        <w:t>Mix and apply HBSA over the prepared substrate. Best performance is achieved when HBSA is applied to unsaturated ground and allowed to undergo an appropriate curing period</w:t>
      </w:r>
      <w:r w:rsidR="003D0B72">
        <w:t xml:space="preserve"> as determined by the manufacturer and/or site conditions</w:t>
      </w:r>
      <w:r>
        <w:t xml:space="preserve">. Use an appropriate nozzle tip to ensure uniform surface coverage. Hose applications may be required for certain sites and locations. </w:t>
      </w:r>
    </w:p>
    <w:p w:rsidR="00924D97" w:rsidRDefault="00924D97" w:rsidP="00F66B47">
      <w:pPr>
        <w:pStyle w:val="ListParagraph"/>
        <w:spacing w:line="276" w:lineRule="auto"/>
        <w:ind w:left="1080"/>
        <w:jc w:val="both"/>
      </w:pPr>
    </w:p>
    <w:p w:rsidR="00B61C18" w:rsidRDefault="00B61C18" w:rsidP="00F66B47">
      <w:pPr>
        <w:pStyle w:val="ListParagraph"/>
        <w:spacing w:line="276" w:lineRule="auto"/>
        <w:ind w:left="1080"/>
        <w:jc w:val="both"/>
      </w:pPr>
    </w:p>
    <w:p w:rsidR="00924D97" w:rsidRDefault="00924D97" w:rsidP="00F66B47">
      <w:pPr>
        <w:pStyle w:val="ListParagraph"/>
        <w:numPr>
          <w:ilvl w:val="0"/>
          <w:numId w:val="4"/>
        </w:numPr>
        <w:spacing w:line="276" w:lineRule="auto"/>
        <w:ind w:left="1080" w:hanging="360"/>
        <w:jc w:val="both"/>
      </w:pPr>
      <w:r>
        <w:t xml:space="preserve">Application rates of HBSA shall be </w:t>
      </w:r>
      <w:r w:rsidRPr="00B61C18">
        <w:rPr>
          <w:b/>
        </w:rPr>
        <w:t>3,500 – 5,000</w:t>
      </w:r>
      <w:r>
        <w:t xml:space="preserve"> pounds per acre and meet manufacturer’s specific guidelines for proper performance. A soil test is recommended to determine the agronomic needs of a site. Typically soils </w:t>
      </w:r>
      <w:r w:rsidR="00355003">
        <w:t xml:space="preserve">or substrates </w:t>
      </w:r>
      <w:r>
        <w:t xml:space="preserve">with at least </w:t>
      </w:r>
      <w:r w:rsidR="00355003">
        <w:t>5</w:t>
      </w:r>
      <w:r w:rsidR="004814EB">
        <w:t xml:space="preserve"> </w:t>
      </w:r>
      <w:r>
        <w:t xml:space="preserve">percent organic matter do not need the addition of HBSA. Refer to Erosion Control Technology Council HECP and RECP specifications for proper erosion control. </w:t>
      </w:r>
    </w:p>
    <w:p w:rsidR="00B61C18" w:rsidRDefault="00B61C18" w:rsidP="00F66B47">
      <w:pPr>
        <w:pStyle w:val="ListParagraph"/>
        <w:spacing w:line="276" w:lineRule="auto"/>
        <w:ind w:left="1080" w:hanging="360"/>
      </w:pPr>
    </w:p>
    <w:p w:rsidR="00B61C18" w:rsidRDefault="00B61C18" w:rsidP="00F66B47">
      <w:pPr>
        <w:pStyle w:val="ListParagraph"/>
        <w:spacing w:line="276" w:lineRule="auto"/>
        <w:ind w:left="1080" w:hanging="360"/>
        <w:jc w:val="both"/>
      </w:pPr>
    </w:p>
    <w:p w:rsidR="00B61C18" w:rsidRDefault="00B61C18" w:rsidP="00A85C34">
      <w:pPr>
        <w:pStyle w:val="ListParagraph"/>
        <w:numPr>
          <w:ilvl w:val="0"/>
          <w:numId w:val="4"/>
        </w:numPr>
        <w:spacing w:line="276" w:lineRule="auto"/>
        <w:ind w:left="1080" w:hanging="360"/>
        <w:jc w:val="both"/>
      </w:pPr>
      <w:r>
        <w:t>HBSA is not intended to be applied in channels, swales or other areas where concentrated flows are anticipated, unless installed in conjunction with Rolled Erosion Control Products (RECPs).</w:t>
      </w:r>
    </w:p>
    <w:p w:rsidR="00A85C34" w:rsidRDefault="00A85C34" w:rsidP="00A85C34">
      <w:pPr>
        <w:pStyle w:val="ListParagraph"/>
        <w:spacing w:line="276" w:lineRule="auto"/>
        <w:ind w:left="1080"/>
        <w:jc w:val="both"/>
      </w:pPr>
    </w:p>
    <w:p w:rsidR="00C26D79" w:rsidRDefault="00B61C18" w:rsidP="00F66B47">
      <w:pPr>
        <w:pStyle w:val="ListParagraph"/>
        <w:numPr>
          <w:ilvl w:val="0"/>
          <w:numId w:val="4"/>
        </w:numPr>
        <w:spacing w:line="276" w:lineRule="auto"/>
        <w:ind w:left="1080" w:hanging="360"/>
        <w:jc w:val="both"/>
      </w:pPr>
      <w:r>
        <w:t xml:space="preserve">After application, thoroughly flush the tank, pumps and hoses to remove all HBSA material. Wash all material from the exterior of the machines and remove any spills. </w:t>
      </w:r>
      <w:r>
        <w:tab/>
      </w:r>
    </w:p>
    <w:p w:rsidR="00B61C18" w:rsidRDefault="00B61C18" w:rsidP="00F66B47">
      <w:pPr>
        <w:pStyle w:val="ListParagraph"/>
        <w:spacing w:line="276" w:lineRule="auto"/>
        <w:ind w:left="1440"/>
        <w:jc w:val="both"/>
      </w:pPr>
    </w:p>
    <w:p w:rsidR="00B61C18" w:rsidRPr="00924D97" w:rsidRDefault="00B61C18" w:rsidP="00B61C18">
      <w:pPr>
        <w:rPr>
          <w:b/>
        </w:rPr>
      </w:pPr>
      <w:r w:rsidRPr="00924D97">
        <w:rPr>
          <w:b/>
        </w:rPr>
        <w:t>3.</w:t>
      </w:r>
      <w:r>
        <w:rPr>
          <w:b/>
        </w:rPr>
        <w:t>3</w:t>
      </w:r>
      <w:r w:rsidRPr="00924D97">
        <w:rPr>
          <w:b/>
        </w:rPr>
        <w:tab/>
      </w:r>
      <w:r>
        <w:rPr>
          <w:b/>
        </w:rPr>
        <w:t>PROTECTION</w:t>
      </w:r>
    </w:p>
    <w:p w:rsidR="00C26D79" w:rsidRDefault="00B61C18" w:rsidP="00F66B47">
      <w:pPr>
        <w:spacing w:line="276" w:lineRule="auto"/>
        <w:ind w:left="1080" w:hanging="360"/>
        <w:jc w:val="both"/>
      </w:pPr>
      <w:r>
        <w:t>A.</w:t>
      </w:r>
      <w:r>
        <w:tab/>
        <w:t xml:space="preserve">Areas treated with HBSA shall be protected from foot and vehicle traffic, grazing and other disturbances. Any damaged area shall be repaired utilizing the application specification and procedure detailed above. </w:t>
      </w:r>
    </w:p>
    <w:p w:rsidR="00B61C18" w:rsidRDefault="00B61C18" w:rsidP="00B61C18">
      <w:pPr>
        <w:pStyle w:val="Subtitle"/>
        <w:rPr>
          <w:b/>
          <w:color w:val="538135" w:themeColor="accent6" w:themeShade="BF"/>
          <w:sz w:val="36"/>
          <w:szCs w:val="36"/>
        </w:rPr>
      </w:pPr>
    </w:p>
    <w:p w:rsidR="00B61C18" w:rsidRDefault="00B61C18" w:rsidP="00B61C18">
      <w:pPr>
        <w:jc w:val="both"/>
      </w:pPr>
    </w:p>
    <w:p w:rsidR="00B61C18" w:rsidRPr="00924D97" w:rsidRDefault="00B61C18" w:rsidP="00B61C18">
      <w:pPr>
        <w:rPr>
          <w:b/>
        </w:rPr>
      </w:pPr>
      <w:r>
        <w:rPr>
          <w:b/>
        </w:rPr>
        <w:t>4.1</w:t>
      </w:r>
      <w:r w:rsidRPr="00924D97">
        <w:rPr>
          <w:b/>
        </w:rPr>
        <w:tab/>
      </w:r>
      <w:r>
        <w:rPr>
          <w:b/>
        </w:rPr>
        <w:t>PAYMENT</w:t>
      </w:r>
    </w:p>
    <w:p w:rsidR="00B61C18" w:rsidRDefault="00B61C18" w:rsidP="00F66B47">
      <w:pPr>
        <w:spacing w:line="276" w:lineRule="auto"/>
        <w:ind w:left="1080" w:hanging="360"/>
        <w:jc w:val="both"/>
      </w:pPr>
      <w:r>
        <w:t>A.</w:t>
      </w:r>
      <w:r>
        <w:tab/>
        <w:t xml:space="preserve">HBSA will be paid for the unit area treated. The price shall include; full compensation furnishing all labor, materials, tools, equipment and incidentals for doing all the HBSA work, complete in place, shown on the plans and as specified in these Standards and Specifications. </w:t>
      </w:r>
    </w:p>
    <w:p w:rsidR="00510751" w:rsidRDefault="00510751" w:rsidP="00B61C18">
      <w:pPr>
        <w:ind w:left="1080" w:hanging="360"/>
        <w:jc w:val="both"/>
      </w:pPr>
    </w:p>
    <w:p w:rsidR="00510751" w:rsidRPr="00CA244C" w:rsidRDefault="00F453E0" w:rsidP="00B61C18">
      <w:pPr>
        <w:ind w:left="1080" w:hanging="360"/>
        <w:jc w:val="both"/>
      </w:pPr>
      <w:r>
        <w:rPr>
          <w:noProof/>
        </w:rPr>
        <w:lastRenderedPageBreak/>
        <w:drawing>
          <wp:inline distT="0" distB="0" distL="0" distR="0">
            <wp:extent cx="5602809" cy="3601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for specification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11075" cy="3607034"/>
                    </a:xfrm>
                    <a:prstGeom prst="rect">
                      <a:avLst/>
                    </a:prstGeom>
                  </pic:spPr>
                </pic:pic>
              </a:graphicData>
            </a:graphic>
          </wp:inline>
        </w:drawing>
      </w:r>
    </w:p>
    <w:sectPr w:rsidR="00510751" w:rsidRPr="00CA244C" w:rsidSect="00C92E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A7A" w:rsidRDefault="00803A7A" w:rsidP="00CA244C">
      <w:pPr>
        <w:spacing w:after="0" w:line="240" w:lineRule="auto"/>
      </w:pPr>
      <w:r>
        <w:separator/>
      </w:r>
    </w:p>
  </w:endnote>
  <w:endnote w:type="continuationSeparator" w:id="0">
    <w:p w:rsidR="00803A7A" w:rsidRDefault="00803A7A" w:rsidP="00CA2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37" w:rsidRDefault="00146A37" w:rsidP="00CA244C">
    <w:pPr>
      <w:pStyle w:val="Footer"/>
      <w:jc w:val="center"/>
      <w:rPr>
        <w:b/>
        <w:color w:val="538135" w:themeColor="accent6" w:themeShade="BF"/>
        <w:sz w:val="28"/>
        <w:szCs w:val="28"/>
      </w:rPr>
    </w:pPr>
  </w:p>
  <w:p w:rsidR="00CA244C" w:rsidRPr="00510751" w:rsidRDefault="00CA244C" w:rsidP="00CA244C">
    <w:pPr>
      <w:pStyle w:val="Footer"/>
      <w:jc w:val="center"/>
      <w:rPr>
        <w:b/>
        <w:color w:val="538135" w:themeColor="accent6" w:themeShade="BF"/>
        <w:sz w:val="28"/>
        <w:szCs w:val="28"/>
      </w:rPr>
    </w:pPr>
    <w:r w:rsidRPr="00510751">
      <w:rPr>
        <w:b/>
        <w:color w:val="538135" w:themeColor="accent6" w:themeShade="BF"/>
        <w:sz w:val="28"/>
        <w:szCs w:val="28"/>
      </w:rPr>
      <w:t xml:space="preserve">EROSION CONTROL TECHNOLOGY COUNCIL – </w:t>
    </w:r>
    <w:hyperlink r:id="rId1" w:history="1">
      <w:r w:rsidRPr="00510751">
        <w:rPr>
          <w:rStyle w:val="Hyperlink"/>
          <w:b/>
          <w:color w:val="538135" w:themeColor="accent6" w:themeShade="BF"/>
          <w:sz w:val="28"/>
          <w:szCs w:val="28"/>
        </w:rPr>
        <w:t>WWW.ECTC.ORG</w:t>
      </w:r>
    </w:hyperlink>
  </w:p>
  <w:p w:rsidR="00CA244C" w:rsidRPr="00CA244C" w:rsidRDefault="00CA244C" w:rsidP="00CA244C">
    <w:pPr>
      <w:pStyle w:val="Footer"/>
      <w:jc w:val="center"/>
      <w:rPr>
        <w:i/>
        <w:sz w:val="16"/>
        <w:szCs w:val="16"/>
      </w:rPr>
    </w:pPr>
    <w:r w:rsidRPr="00CA244C">
      <w:rPr>
        <w:i/>
        <w:sz w:val="16"/>
        <w:szCs w:val="16"/>
      </w:rPr>
      <w:t>ECTC makes no representations or warranties of any kind, express or implied, created by law, contract or otherwise, including, without limitation, any representations or warranties of merchantability or fitness for a particular purpose. This specification is not intended to replace the recommendations of an erosion control professional or product manufacturer on the proper application and use of erosion control products. Any reliance you place on such information is therefore strictly at your own risk.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A7A" w:rsidRDefault="00803A7A" w:rsidP="00CA244C">
      <w:pPr>
        <w:spacing w:after="0" w:line="240" w:lineRule="auto"/>
      </w:pPr>
      <w:r>
        <w:separator/>
      </w:r>
    </w:p>
  </w:footnote>
  <w:footnote w:type="continuationSeparator" w:id="0">
    <w:p w:rsidR="00803A7A" w:rsidRDefault="00803A7A" w:rsidP="00CA2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4C" w:rsidRDefault="003668BB" w:rsidP="00CA244C">
    <w:pPr>
      <w:pStyle w:val="Header"/>
      <w:jc w:val="right"/>
    </w:pPr>
    <w:sdt>
      <w:sdtPr>
        <w:id w:val="-1203251323"/>
        <w:docPartObj>
          <w:docPartGallery w:val="Page Numbers (Margins)"/>
          <w:docPartUnique/>
        </w:docPartObj>
      </w:sdtPr>
      <w:sdtContent>
        <w:r>
          <w:rPr>
            <w:noProof/>
          </w:rPr>
          <w:pict>
            <v:rect id="Rectangle 5" o:spid="_x0000_s4097" style="position:absolute;left:0;text-align:left;margin-left:0;margin-top:0;width:41.2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" o:allowincell="f" filled="f" stroked="f">
              <v:textbox style="layout-flow:vertical;mso-layout-flow-alt:bottom-to-top;mso-fit-shape-to-text:t">
                <w:txbxContent>
                  <w:p w:rsidR="00146A37" w:rsidRDefault="00146A3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3668BB" w:rsidRPr="003668BB">
                      <w:rPr>
                        <w:rFonts w:eastAsiaTheme="minorEastAsia" w:cs="Times New Roman"/>
                      </w:rPr>
                      <w:fldChar w:fldCharType="begin"/>
                    </w:r>
                    <w:r>
                      <w:instrText xml:space="preserve"> PAGE    \* MERGEFORMAT </w:instrText>
                    </w:r>
                    <w:r w:rsidR="003668BB" w:rsidRPr="003668BB">
                      <w:rPr>
                        <w:rFonts w:eastAsiaTheme="minorEastAsia" w:cs="Times New Roman"/>
                      </w:rPr>
                      <w:fldChar w:fldCharType="separate"/>
                    </w:r>
                    <w:r w:rsidR="00563C1E" w:rsidRPr="00563C1E">
                      <w:rPr>
                        <w:rFonts w:asciiTheme="majorHAnsi" w:eastAsiaTheme="majorEastAsia" w:hAnsiTheme="majorHAnsi" w:cstheme="majorBidi"/>
                        <w:noProof/>
                        <w:sz w:val="44"/>
                        <w:szCs w:val="44"/>
                      </w:rPr>
                      <w:t>6</w:t>
                    </w:r>
                    <w:r w:rsidR="003668BB">
                      <w:rPr>
                        <w:rFonts w:asciiTheme="majorHAnsi" w:eastAsiaTheme="majorEastAsia" w:hAnsiTheme="majorHAnsi" w:cstheme="majorBidi"/>
                        <w:noProof/>
                        <w:sz w:val="44"/>
                        <w:szCs w:val="44"/>
                      </w:rPr>
                      <w:fldChar w:fldCharType="end"/>
                    </w:r>
                  </w:p>
                </w:txbxContent>
              </v:textbox>
              <w10:wrap anchorx="margin" anchory="margin"/>
            </v:rect>
          </w:pict>
        </w:r>
      </w:sdtContent>
    </w:sdt>
    <w:r w:rsidR="00CA244C">
      <w:rPr>
        <w:noProof/>
      </w:rPr>
      <w:drawing>
        <wp:inline distT="0" distB="0" distL="0" distR="0">
          <wp:extent cx="1641231"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TCLOGO_FINA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1985" cy="116441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1460A"/>
    <w:multiLevelType w:val="multilevel"/>
    <w:tmpl w:val="40D22EF4"/>
    <w:lvl w:ilvl="0">
      <w:start w:val="1"/>
      <w:numFmt w:val="upperLetter"/>
      <w:lvlText w:val="%1."/>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1">
    <w:nsid w:val="3EE77816"/>
    <w:multiLevelType w:val="hybridMultilevel"/>
    <w:tmpl w:val="66E4C986"/>
    <w:lvl w:ilvl="0" w:tplc="9B2456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FD2D30"/>
    <w:multiLevelType w:val="multilevel"/>
    <w:tmpl w:val="A79A3F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781A524A"/>
    <w:multiLevelType w:val="hybridMultilevel"/>
    <w:tmpl w:val="87320932"/>
    <w:lvl w:ilvl="0" w:tplc="62DCE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A244C"/>
    <w:rsid w:val="00146A37"/>
    <w:rsid w:val="00176D31"/>
    <w:rsid w:val="001842D3"/>
    <w:rsid w:val="001D2482"/>
    <w:rsid w:val="00246BBC"/>
    <w:rsid w:val="00355003"/>
    <w:rsid w:val="003663A0"/>
    <w:rsid w:val="003668BB"/>
    <w:rsid w:val="0038789B"/>
    <w:rsid w:val="003A31D5"/>
    <w:rsid w:val="003B4BC8"/>
    <w:rsid w:val="003D0B72"/>
    <w:rsid w:val="003D2136"/>
    <w:rsid w:val="004139A7"/>
    <w:rsid w:val="004814EB"/>
    <w:rsid w:val="004820B6"/>
    <w:rsid w:val="00484F85"/>
    <w:rsid w:val="004D13B3"/>
    <w:rsid w:val="004F33A8"/>
    <w:rsid w:val="00510751"/>
    <w:rsid w:val="005307F6"/>
    <w:rsid w:val="00563C1E"/>
    <w:rsid w:val="005B74AC"/>
    <w:rsid w:val="007644AD"/>
    <w:rsid w:val="00803A7A"/>
    <w:rsid w:val="0082061D"/>
    <w:rsid w:val="008907EF"/>
    <w:rsid w:val="008F27CA"/>
    <w:rsid w:val="009158D4"/>
    <w:rsid w:val="00924D97"/>
    <w:rsid w:val="00960154"/>
    <w:rsid w:val="009B715B"/>
    <w:rsid w:val="009F4E34"/>
    <w:rsid w:val="00A22235"/>
    <w:rsid w:val="00A43181"/>
    <w:rsid w:val="00A82311"/>
    <w:rsid w:val="00A85C34"/>
    <w:rsid w:val="00A92E36"/>
    <w:rsid w:val="00B000BC"/>
    <w:rsid w:val="00B26F3A"/>
    <w:rsid w:val="00B30734"/>
    <w:rsid w:val="00B61C18"/>
    <w:rsid w:val="00BE663A"/>
    <w:rsid w:val="00C26D79"/>
    <w:rsid w:val="00C92E6A"/>
    <w:rsid w:val="00CA244C"/>
    <w:rsid w:val="00D37E5F"/>
    <w:rsid w:val="00D43FC6"/>
    <w:rsid w:val="00D92ACF"/>
    <w:rsid w:val="00DF1A07"/>
    <w:rsid w:val="00E5484D"/>
    <w:rsid w:val="00EB029B"/>
    <w:rsid w:val="00F453E0"/>
    <w:rsid w:val="00F46D15"/>
    <w:rsid w:val="00F66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4C"/>
  </w:style>
  <w:style w:type="paragraph" w:styleId="Footer">
    <w:name w:val="footer"/>
    <w:basedOn w:val="Normal"/>
    <w:link w:val="FooterChar"/>
    <w:uiPriority w:val="99"/>
    <w:unhideWhenUsed/>
    <w:rsid w:val="00CA2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4C"/>
  </w:style>
  <w:style w:type="character" w:styleId="Hyperlink">
    <w:name w:val="Hyperlink"/>
    <w:basedOn w:val="DefaultParagraphFont"/>
    <w:uiPriority w:val="99"/>
    <w:unhideWhenUsed/>
    <w:rsid w:val="00CA244C"/>
    <w:rPr>
      <w:color w:val="0563C1" w:themeColor="hyperlink"/>
      <w:u w:val="single"/>
    </w:rPr>
  </w:style>
  <w:style w:type="paragraph" w:styleId="Title">
    <w:name w:val="Title"/>
    <w:basedOn w:val="Normal"/>
    <w:next w:val="Normal"/>
    <w:link w:val="TitleChar"/>
    <w:uiPriority w:val="10"/>
    <w:qFormat/>
    <w:rsid w:val="00CA2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4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24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A244C"/>
    <w:rPr>
      <w:rFonts w:eastAsiaTheme="minorEastAsia"/>
      <w:color w:val="5A5A5A" w:themeColor="text1" w:themeTint="A5"/>
      <w:spacing w:val="15"/>
    </w:rPr>
  </w:style>
  <w:style w:type="paragraph" w:styleId="ListParagraph">
    <w:name w:val="List Paragraph"/>
    <w:basedOn w:val="Normal"/>
    <w:uiPriority w:val="34"/>
    <w:qFormat/>
    <w:rsid w:val="00CA244C"/>
    <w:pPr>
      <w:ind w:left="720"/>
      <w:contextualSpacing/>
    </w:pPr>
  </w:style>
  <w:style w:type="table" w:styleId="TableGrid">
    <w:name w:val="Table Grid"/>
    <w:basedOn w:val="TableNormal"/>
    <w:uiPriority w:val="39"/>
    <w:rsid w:val="00DF1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3B3"/>
    <w:rPr>
      <w:rFonts w:ascii="Tahoma" w:hAnsi="Tahoma" w:cs="Tahoma"/>
      <w:sz w:val="16"/>
      <w:szCs w:val="16"/>
    </w:rPr>
  </w:style>
  <w:style w:type="character" w:styleId="CommentReference">
    <w:name w:val="annotation reference"/>
    <w:basedOn w:val="DefaultParagraphFont"/>
    <w:uiPriority w:val="99"/>
    <w:semiHidden/>
    <w:unhideWhenUsed/>
    <w:rsid w:val="004139A7"/>
    <w:rPr>
      <w:sz w:val="16"/>
      <w:szCs w:val="16"/>
    </w:rPr>
  </w:style>
  <w:style w:type="paragraph" w:styleId="CommentText">
    <w:name w:val="annotation text"/>
    <w:basedOn w:val="Normal"/>
    <w:link w:val="CommentTextChar"/>
    <w:uiPriority w:val="99"/>
    <w:semiHidden/>
    <w:unhideWhenUsed/>
    <w:rsid w:val="004139A7"/>
    <w:pPr>
      <w:spacing w:line="240" w:lineRule="auto"/>
    </w:pPr>
    <w:rPr>
      <w:sz w:val="20"/>
      <w:szCs w:val="20"/>
    </w:rPr>
  </w:style>
  <w:style w:type="character" w:customStyle="1" w:styleId="CommentTextChar">
    <w:name w:val="Comment Text Char"/>
    <w:basedOn w:val="DefaultParagraphFont"/>
    <w:link w:val="CommentText"/>
    <w:uiPriority w:val="99"/>
    <w:semiHidden/>
    <w:rsid w:val="004139A7"/>
    <w:rPr>
      <w:sz w:val="20"/>
      <w:szCs w:val="20"/>
    </w:rPr>
  </w:style>
  <w:style w:type="paragraph" w:styleId="CommentSubject">
    <w:name w:val="annotation subject"/>
    <w:basedOn w:val="CommentText"/>
    <w:next w:val="CommentText"/>
    <w:link w:val="CommentSubjectChar"/>
    <w:uiPriority w:val="99"/>
    <w:semiHidden/>
    <w:unhideWhenUsed/>
    <w:rsid w:val="004139A7"/>
    <w:rPr>
      <w:b/>
      <w:bCs/>
    </w:rPr>
  </w:style>
  <w:style w:type="character" w:customStyle="1" w:styleId="CommentSubjectChar">
    <w:name w:val="Comment Subject Char"/>
    <w:basedOn w:val="CommentTextChar"/>
    <w:link w:val="CommentSubject"/>
    <w:uiPriority w:val="99"/>
    <w:semiHidden/>
    <w:rsid w:val="004139A7"/>
    <w:rPr>
      <w:b/>
      <w:bCs/>
      <w:sz w:val="20"/>
      <w:szCs w:val="20"/>
    </w:rPr>
  </w:style>
  <w:style w:type="paragraph" w:styleId="Revision">
    <w:name w:val="Revision"/>
    <w:hidden/>
    <w:uiPriority w:val="99"/>
    <w:semiHidden/>
    <w:rsid w:val="004139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CT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900</Words>
  <Characters>5131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Honnigford</dc:creator>
  <cp:lastModifiedBy>fredhonnigford</cp:lastModifiedBy>
  <cp:revision>2</cp:revision>
  <dcterms:created xsi:type="dcterms:W3CDTF">2016-07-13T00:46:00Z</dcterms:created>
  <dcterms:modified xsi:type="dcterms:W3CDTF">2016-07-13T00:46:00Z</dcterms:modified>
</cp:coreProperties>
</file>